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Mack John Prosper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80"/>
        <w:spacing w:after="0" w:line="365" w:lineRule="auto"/>
        <w:rPr>
          <w:sz w:val="20"/>
          <w:szCs w:val="20"/>
          <w:color w:val="auto"/>
        </w:rPr>
      </w:pPr>
      <w:r>
        <w:rPr>
          <w:rFonts w:ascii="Times New Roman" w:cs="Times New Roman" w:eastAsia="Times New Roman" w:hAnsi="Times New Roman"/>
          <w:sz w:val="17"/>
          <w:szCs w:val="17"/>
          <w:color w:val="0000FF"/>
        </w:rPr>
        <w:t>C/O ORCHESTRA BIOMED HOLDINGS, INC. 150 UNION SQUARE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NEW HOPE</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18938</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Orchestra BioMed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OBIO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34,653</w:t>
            </w:r>
            <w:r>
              <w:rPr>
                <w:rFonts w:ascii="Times New Roman" w:cs="Times New Roman" w:eastAsia="Times New Roman" w:hAnsi="Times New Roman"/>
                <w:sz w:val="22"/>
                <w:szCs w:val="22"/>
                <w:color w:val="008000"/>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74,939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3,510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71,429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awarded to the Reporting Person on June 23, 2026 (the "Grant Date"). Each RSU represents a contingent right to receive one share of Common Stock. The RSUs will vest on the one year anniversary of the Grant Date, subject to the Reporting Person's continuous service through such date.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tax withholding obligations in connection with vesting of RSUs. No shares were sold in the market as a result of the vesting of these RSUs and the satisfaction of tax withholding obligations.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Andrew Taylor, Attorney-</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06/25/2026</w:t>
            </w:r>
          </w:p>
        </w:tc>
        <w:tc>
          <w:tcPr>
            <w:tcW w:w="0" w:type="dxa"/>
            <w:vAlign w:val="bottom"/>
          </w:tcPr>
          <w:p>
            <w:pPr>
              <w:spacing w:after="0"/>
              <w:rPr>
                <w:sz w:val="1"/>
                <w:szCs w:val="1"/>
                <w:color w:val="auto"/>
              </w:rPr>
            </w:pPr>
          </w:p>
        </w:tc>
      </w:tr>
      <w:tr>
        <w:trPr>
          <w:trHeight w:val="87"/>
        </w:trPr>
        <w:tc>
          <w:tcPr>
            <w:tcW w:w="20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1699" TargetMode="External"/><Relationship Id="rId14" Type="http://schemas.openxmlformats.org/officeDocument/2006/relationships/hyperlink" Target="http://www.sec.gov/cgi-bin/browse-edgar?action=getcompany&amp;CIK=00018141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2026-06-25T16:04:16Z</dcterms:created>
  <dcterms:modified xsi:type="dcterms:W3CDTF">2026-06-25T16:04:16Z</dcterms:modified>
</cp:coreProperties>
</file>